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4933" w14:textId="1D1F1F53" w:rsidR="005162B3" w:rsidRDefault="00635940" w:rsidP="00635940">
      <w:pPr>
        <w:spacing w:after="0" w:line="240" w:lineRule="auto"/>
        <w:rPr>
          <w:rStyle w:val="xnormaltextrun"/>
          <w:b/>
          <w:bCs/>
          <w:color w:val="auto"/>
          <w:sz w:val="28"/>
          <w:szCs w:val="28"/>
        </w:rPr>
      </w:pPr>
      <w:r>
        <w:rPr>
          <w:b/>
          <w:bCs/>
          <w:noProof/>
          <w:sz w:val="32"/>
          <w:szCs w:val="32"/>
        </w:rPr>
        <w:drawing>
          <wp:anchor distT="0" distB="0" distL="114300" distR="114300" simplePos="0" relativeHeight="251659264" behindDoc="0" locked="0" layoutInCell="1" allowOverlap="1" wp14:anchorId="0CCEC09D" wp14:editId="02CC5501">
            <wp:simplePos x="0" y="0"/>
            <wp:positionH relativeFrom="margin">
              <wp:posOffset>5248006</wp:posOffset>
            </wp:positionH>
            <wp:positionV relativeFrom="paragraph">
              <wp:posOffset>592</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r w:rsidR="00C165ED">
        <w:rPr>
          <w:rFonts w:eastAsia="Times New Roman"/>
          <w:b/>
          <w:bCs/>
          <w:color w:val="auto"/>
          <w:sz w:val="28"/>
          <w:szCs w:val="28"/>
        </w:rPr>
        <w:t>All Students</w:t>
      </w:r>
      <w:r w:rsidR="00FC00CC">
        <w:rPr>
          <w:rStyle w:val="xnormaltextrun"/>
          <w:b/>
          <w:bCs/>
          <w:color w:val="auto"/>
          <w:sz w:val="28"/>
          <w:szCs w:val="28"/>
        </w:rPr>
        <w:t xml:space="preserve">: </w:t>
      </w:r>
      <w:r w:rsidR="009C4705">
        <w:rPr>
          <w:rStyle w:val="xnormaltextrun"/>
          <w:b/>
          <w:bCs/>
          <w:color w:val="auto"/>
          <w:sz w:val="28"/>
          <w:szCs w:val="28"/>
        </w:rPr>
        <w:t>Implement 2023 JLARC Recommendation to</w:t>
      </w:r>
    </w:p>
    <w:p w14:paraId="6840B894" w14:textId="5281EFB5" w:rsidR="009C4705" w:rsidRDefault="009C4705" w:rsidP="00635940">
      <w:pPr>
        <w:spacing w:after="0" w:line="240" w:lineRule="auto"/>
        <w:rPr>
          <w:rFonts w:eastAsia="Times New Roman"/>
          <w:b/>
          <w:bCs/>
          <w:color w:val="auto"/>
          <w:sz w:val="28"/>
          <w:szCs w:val="28"/>
        </w:rPr>
      </w:pPr>
      <w:r>
        <w:rPr>
          <w:rStyle w:val="xnormaltextrun"/>
          <w:b/>
          <w:bCs/>
          <w:color w:val="auto"/>
          <w:sz w:val="28"/>
          <w:szCs w:val="28"/>
        </w:rPr>
        <w:t>A</w:t>
      </w:r>
      <w:r w:rsidRPr="007F38A9">
        <w:rPr>
          <w:rFonts w:eastAsia="Times New Roman"/>
          <w:b/>
          <w:bCs/>
          <w:color w:val="auto"/>
          <w:sz w:val="28"/>
          <w:szCs w:val="28"/>
        </w:rPr>
        <w:t xml:space="preserve">djust the SOQ </w:t>
      </w:r>
      <w:r>
        <w:rPr>
          <w:rFonts w:eastAsia="Times New Roman"/>
          <w:b/>
          <w:bCs/>
          <w:color w:val="auto"/>
          <w:sz w:val="28"/>
          <w:szCs w:val="28"/>
        </w:rPr>
        <w:t>F</w:t>
      </w:r>
      <w:r w:rsidRPr="007F38A9">
        <w:rPr>
          <w:rFonts w:eastAsia="Times New Roman"/>
          <w:b/>
          <w:bCs/>
          <w:color w:val="auto"/>
          <w:sz w:val="28"/>
          <w:szCs w:val="28"/>
        </w:rPr>
        <w:t>ormula</w:t>
      </w:r>
      <w:r w:rsidR="005162B3">
        <w:rPr>
          <w:rFonts w:eastAsia="Times New Roman"/>
          <w:b/>
          <w:bCs/>
          <w:color w:val="auto"/>
          <w:sz w:val="28"/>
          <w:szCs w:val="28"/>
        </w:rPr>
        <w:t xml:space="preserve"> </w:t>
      </w:r>
      <w:r>
        <w:rPr>
          <w:rFonts w:eastAsia="Times New Roman"/>
          <w:b/>
          <w:bCs/>
          <w:color w:val="auto"/>
          <w:sz w:val="28"/>
          <w:szCs w:val="28"/>
        </w:rPr>
        <w:t>to Appropriately I</w:t>
      </w:r>
      <w:r w:rsidRPr="007F38A9">
        <w:rPr>
          <w:rFonts w:eastAsia="Times New Roman"/>
          <w:b/>
          <w:bCs/>
          <w:color w:val="auto"/>
          <w:sz w:val="28"/>
          <w:szCs w:val="28"/>
        </w:rPr>
        <w:t xml:space="preserve">ncrease </w:t>
      </w:r>
      <w:r w:rsidR="00C165ED">
        <w:rPr>
          <w:rFonts w:eastAsia="Times New Roman"/>
          <w:b/>
          <w:bCs/>
          <w:color w:val="auto"/>
          <w:sz w:val="28"/>
          <w:szCs w:val="28"/>
        </w:rPr>
        <w:t xml:space="preserve">EL </w:t>
      </w:r>
      <w:r>
        <w:rPr>
          <w:rFonts w:eastAsia="Times New Roman"/>
          <w:b/>
          <w:bCs/>
          <w:color w:val="auto"/>
          <w:sz w:val="28"/>
          <w:szCs w:val="28"/>
        </w:rPr>
        <w:t>F</w:t>
      </w:r>
      <w:r w:rsidRPr="007F38A9">
        <w:rPr>
          <w:rFonts w:eastAsia="Times New Roman"/>
          <w:b/>
          <w:bCs/>
          <w:color w:val="auto"/>
          <w:sz w:val="28"/>
          <w:szCs w:val="28"/>
        </w:rPr>
        <w:t>unding</w:t>
      </w:r>
    </w:p>
    <w:p w14:paraId="12C6C457" w14:textId="45217DC0" w:rsidR="00635940" w:rsidRPr="007F38A9" w:rsidRDefault="00635940" w:rsidP="005162B3">
      <w:pPr>
        <w:spacing w:after="0" w:line="240" w:lineRule="auto"/>
        <w:jc w:val="center"/>
        <w:rPr>
          <w:rFonts w:ascii="Segoe UI" w:eastAsia="Times New Roman" w:hAnsi="Segoe UI" w:cs="Segoe UI"/>
          <w:sz w:val="28"/>
          <w:szCs w:val="28"/>
        </w:rPr>
      </w:pPr>
    </w:p>
    <w:p w14:paraId="15F5E707" w14:textId="30E1FCAD" w:rsidR="009C4705" w:rsidRPr="007F38A9" w:rsidRDefault="00635940" w:rsidP="009C4705">
      <w:pPr>
        <w:spacing w:after="0" w:line="240" w:lineRule="auto"/>
        <w:textAlignment w:val="baseline"/>
        <w:rPr>
          <w:rFonts w:ascii="Segoe UI" w:eastAsia="Times New Roman" w:hAnsi="Segoe UI" w:cs="Segoe UI"/>
          <w:sz w:val="18"/>
          <w:szCs w:val="18"/>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49B5485E" wp14:editId="11B6F5EF">
                <wp:simplePos x="0" y="0"/>
                <wp:positionH relativeFrom="margin">
                  <wp:posOffset>-55880</wp:posOffset>
                </wp:positionH>
                <wp:positionV relativeFrom="paragraph">
                  <wp:posOffset>28575</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5A89698F" w14:textId="77777777" w:rsidR="00635940" w:rsidRDefault="00635940" w:rsidP="00635940">
                            <w:pPr>
                              <w:jc w:val="center"/>
                            </w:pPr>
                            <w:r>
                              <w:rPr>
                                <w:noProof/>
                              </w:rPr>
                              <w:drawing>
                                <wp:inline distT="0" distB="0" distL="0" distR="0" wp14:anchorId="70122AB4" wp14:editId="03FD275E">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5485E" id="Rectangle 3" o:spid="_x0000_s1026" style="position:absolute;margin-left:-4.4pt;margin-top:2.25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" fillcolor="#ed7d31" strokecolor="#ed7d31" strokeweight="1pt">
                <v:textbox>
                  <w:txbxContent>
                    <w:p w14:paraId="5A89698F" w14:textId="77777777" w:rsidR="00635940" w:rsidRDefault="00635940" w:rsidP="00635940">
                      <w:pPr>
                        <w:jc w:val="center"/>
                      </w:pPr>
                      <w:r>
                        <w:rPr>
                          <w:noProof/>
                        </w:rPr>
                        <w:drawing>
                          <wp:inline distT="0" distB="0" distL="0" distR="0" wp14:anchorId="70122AB4" wp14:editId="03FD275E">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r w:rsidR="009C4705" w:rsidRPr="007F38A9">
        <w:rPr>
          <w:rFonts w:eastAsia="Times New Roman"/>
          <w:color w:val="auto"/>
          <w:sz w:val="18"/>
          <w:szCs w:val="18"/>
        </w:rPr>
        <w:t> </w:t>
      </w:r>
    </w:p>
    <w:p w14:paraId="15ACA22E" w14:textId="3F316632"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18"/>
          <w:szCs w:val="18"/>
        </w:rPr>
        <w:t> </w:t>
      </w:r>
    </w:p>
    <w:p w14:paraId="1AD67FC0" w14:textId="2E968CDE" w:rsidR="009C4705" w:rsidRDefault="009C4705" w:rsidP="009C4705">
      <w:pPr>
        <w:spacing w:after="0" w:line="240" w:lineRule="auto"/>
        <w:textAlignment w:val="baseline"/>
        <w:rPr>
          <w:rFonts w:eastAsia="Times New Roman"/>
          <w:color w:val="auto"/>
          <w:sz w:val="24"/>
          <w:szCs w:val="24"/>
        </w:rPr>
      </w:pPr>
      <w:r w:rsidRPr="007F38A9">
        <w:rPr>
          <w:rFonts w:eastAsia="Times New Roman"/>
          <w:color w:val="auto"/>
          <w:sz w:val="24"/>
          <w:szCs w:val="24"/>
          <w:u w:val="single"/>
        </w:rPr>
        <w:t>Background:</w:t>
      </w:r>
      <w:r w:rsidRPr="007F38A9">
        <w:rPr>
          <w:rFonts w:eastAsia="Times New Roman"/>
          <w:color w:val="auto"/>
          <w:sz w:val="24"/>
          <w:szCs w:val="24"/>
        </w:rPr>
        <w:t xml:space="preserve"> Senate Joint Resolution 294, passed during the 2021 General Assembly, directed the Joint Legislative Audit and Review Commission (JLARC) to review and recommend changes to Virginia’s SOQ funding formula. Included in the JLARC review, released in July of 2023, is recognition that schools do not receive adequate funding for EL students and others with higher needs:  </w:t>
      </w:r>
    </w:p>
    <w:p w14:paraId="31EFB5B4" w14:textId="77777777" w:rsidR="009C4705" w:rsidRPr="007F38A9" w:rsidRDefault="009C4705" w:rsidP="009C4705">
      <w:pPr>
        <w:spacing w:after="0" w:line="240" w:lineRule="auto"/>
        <w:textAlignment w:val="baseline"/>
        <w:rPr>
          <w:rFonts w:ascii="Segoe UI" w:eastAsia="Times New Roman" w:hAnsi="Segoe UI" w:cs="Segoe UI"/>
          <w:sz w:val="18"/>
          <w:szCs w:val="18"/>
        </w:rPr>
      </w:pPr>
    </w:p>
    <w:p w14:paraId="541A82C5" w14:textId="77777777" w:rsidR="009C4705" w:rsidRPr="007F38A9" w:rsidRDefault="009C4705" w:rsidP="009C4705">
      <w:pPr>
        <w:spacing w:after="0" w:line="240" w:lineRule="auto"/>
        <w:ind w:left="720"/>
        <w:textAlignment w:val="baseline"/>
        <w:rPr>
          <w:rFonts w:ascii="Segoe UI" w:eastAsia="Times New Roman" w:hAnsi="Segoe UI" w:cs="Segoe UI"/>
          <w:i/>
          <w:iCs/>
          <w:sz w:val="18"/>
          <w:szCs w:val="18"/>
        </w:rPr>
      </w:pPr>
      <w:r w:rsidRPr="007F38A9">
        <w:rPr>
          <w:rFonts w:eastAsia="Times New Roman"/>
          <w:i/>
          <w:iCs/>
          <w:color w:val="auto"/>
          <w:sz w:val="24"/>
          <w:szCs w:val="24"/>
        </w:rPr>
        <w:t>The SOQ formula does not adequately account for higher needs students. State funding for at-risk students, special education students, and English learner students is less than the level of funding determined necessary to educate them in cost studies performed in other states.</w:t>
      </w:r>
    </w:p>
    <w:p w14:paraId="1817AB3E"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rPr>
        <w:t> </w:t>
      </w:r>
    </w:p>
    <w:p w14:paraId="5F111DAC" w14:textId="77777777" w:rsidR="009C4705" w:rsidRDefault="009C4705" w:rsidP="009C4705">
      <w:pPr>
        <w:spacing w:after="0" w:line="240" w:lineRule="auto"/>
        <w:textAlignment w:val="baseline"/>
        <w:rPr>
          <w:rFonts w:eastAsia="Times New Roman"/>
          <w:color w:val="auto"/>
          <w:sz w:val="24"/>
          <w:szCs w:val="24"/>
        </w:rPr>
      </w:pPr>
      <w:r w:rsidRPr="007F38A9">
        <w:rPr>
          <w:rFonts w:eastAsia="Times New Roman"/>
          <w:color w:val="auto"/>
          <w:sz w:val="24"/>
          <w:szCs w:val="24"/>
          <w:u w:val="single"/>
        </w:rPr>
        <w:t>Current Reality:</w:t>
      </w:r>
      <w:r w:rsidRPr="007F38A9">
        <w:rPr>
          <w:rFonts w:eastAsia="Times New Roman"/>
          <w:color w:val="auto"/>
          <w:sz w:val="24"/>
          <w:szCs w:val="24"/>
        </w:rPr>
        <w:t xml:space="preserve">  Students who are English Learners in Roanoke City Public Schools represent a wide variety of nationalities, home languages, life experiences, and educational needs. This group includes ELs who have interrupted schooling, have special needs, are identified as gifted or advanced, and other unique characteristics that help to determine their educational needs.  </w:t>
      </w:r>
    </w:p>
    <w:p w14:paraId="2EAC3982" w14:textId="77777777" w:rsidR="009C4705" w:rsidRDefault="009C4705" w:rsidP="009C4705">
      <w:pPr>
        <w:spacing w:after="0" w:line="240" w:lineRule="auto"/>
        <w:textAlignment w:val="baseline"/>
        <w:rPr>
          <w:rFonts w:eastAsia="Times New Roman"/>
          <w:color w:val="auto"/>
          <w:sz w:val="24"/>
          <w:szCs w:val="24"/>
        </w:rPr>
      </w:pPr>
    </w:p>
    <w:p w14:paraId="20270AE4"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rPr>
        <w:t>Current SOQ funding levels do not consider the specific needs of these students and the staffing levels needed to provide them with sufficient English language development instruction.</w:t>
      </w:r>
    </w:p>
    <w:p w14:paraId="14D99E6E"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sz w:val="24"/>
          <w:szCs w:val="24"/>
        </w:rPr>
        <w:t> </w:t>
      </w:r>
    </w:p>
    <w:p w14:paraId="7B9F8E04" w14:textId="77777777" w:rsidR="009C4705" w:rsidRPr="007F38A9" w:rsidRDefault="009C4705" w:rsidP="009C4705">
      <w:pPr>
        <w:spacing w:after="0" w:line="240" w:lineRule="auto"/>
        <w:textAlignment w:val="baseline"/>
        <w:rPr>
          <w:rFonts w:ascii="Segoe UI" w:eastAsia="Times New Roman" w:hAnsi="Segoe UI" w:cs="Segoe UI"/>
          <w:sz w:val="18"/>
          <w:szCs w:val="18"/>
        </w:rPr>
      </w:pPr>
      <w:r w:rsidRPr="007F38A9">
        <w:rPr>
          <w:rFonts w:eastAsia="Times New Roman"/>
          <w:color w:val="auto"/>
          <w:sz w:val="24"/>
          <w:szCs w:val="24"/>
          <w:u w:val="single"/>
        </w:rPr>
        <w:t>RCPS recommends the General Assembly to: </w:t>
      </w:r>
      <w:r w:rsidRPr="007F38A9">
        <w:rPr>
          <w:rFonts w:eastAsia="Times New Roman"/>
          <w:color w:val="auto"/>
          <w:sz w:val="24"/>
          <w:szCs w:val="24"/>
        </w:rPr>
        <w:t> </w:t>
      </w:r>
    </w:p>
    <w:p w14:paraId="3318282A" w14:textId="77777777" w:rsidR="009C4705" w:rsidRPr="007F38A9" w:rsidRDefault="009C4705" w:rsidP="009C4705">
      <w:pPr>
        <w:spacing w:after="0" w:line="240" w:lineRule="auto"/>
        <w:textAlignment w:val="baseline"/>
        <w:rPr>
          <w:rFonts w:eastAsia="Times New Roman"/>
        </w:rPr>
      </w:pPr>
      <w:r>
        <w:rPr>
          <w:rFonts w:eastAsia="Times New Roman"/>
          <w:b/>
          <w:bCs/>
        </w:rPr>
        <w:t>Update</w:t>
      </w:r>
      <w:r w:rsidRPr="007F38A9">
        <w:rPr>
          <w:rFonts w:eastAsia="Times New Roman"/>
          <w:b/>
          <w:bCs/>
        </w:rPr>
        <w:t xml:space="preserve"> the SOQ formula to increase funding for EL students</w:t>
      </w:r>
      <w:r>
        <w:rPr>
          <w:rFonts w:eastAsia="Times New Roman"/>
          <w:b/>
          <w:bCs/>
        </w:rPr>
        <w:t xml:space="preserve"> as recommended by JLARC</w:t>
      </w:r>
      <w:r w:rsidRPr="007F38A9">
        <w:rPr>
          <w:rFonts w:eastAsia="Times New Roman"/>
          <w:b/>
          <w:bCs/>
        </w:rPr>
        <w:t>.  </w:t>
      </w:r>
      <w:r w:rsidRPr="007F38A9">
        <w:rPr>
          <w:rFonts w:eastAsia="Times New Roman"/>
        </w:rPr>
        <w:t> </w:t>
      </w:r>
    </w:p>
    <w:p w14:paraId="40C99EB6" w14:textId="77777777" w:rsidR="009C4705" w:rsidRPr="00ED7217" w:rsidRDefault="009C4705" w:rsidP="00947149">
      <w:pPr>
        <w:pStyle w:val="ListParagraph"/>
        <w:numPr>
          <w:ilvl w:val="0"/>
          <w:numId w:val="5"/>
        </w:numPr>
        <w:spacing w:after="0" w:line="240" w:lineRule="auto"/>
        <w:textAlignment w:val="baseline"/>
        <w:rPr>
          <w:rFonts w:eastAsia="Times New Roman"/>
        </w:rPr>
      </w:pPr>
      <w:r w:rsidRPr="00ED7217">
        <w:rPr>
          <w:rFonts w:eastAsia="Times New Roman"/>
          <w:color w:val="auto"/>
        </w:rPr>
        <w:t>Adjust the current funding for EL teachers, which is 20 instructional positions per 1,000 EL students to fund 22 instructional positions per 1,000 EL students.  </w:t>
      </w:r>
    </w:p>
    <w:p w14:paraId="11DA8296" w14:textId="77777777" w:rsidR="009C4705" w:rsidRPr="00ED7217" w:rsidRDefault="009C4705" w:rsidP="00947149">
      <w:pPr>
        <w:pStyle w:val="ListParagraph"/>
        <w:numPr>
          <w:ilvl w:val="0"/>
          <w:numId w:val="5"/>
        </w:numPr>
        <w:spacing w:after="0" w:line="240" w:lineRule="auto"/>
        <w:textAlignment w:val="baseline"/>
        <w:rPr>
          <w:rFonts w:eastAsia="Times New Roman"/>
        </w:rPr>
      </w:pPr>
      <w:r w:rsidRPr="00ED7217">
        <w:rPr>
          <w:rFonts w:eastAsia="Times New Roman"/>
          <w:color w:val="auto"/>
        </w:rPr>
        <w:t>Fund one additional position per 25 students identified in one or more of the following groups of ELs: </w:t>
      </w:r>
    </w:p>
    <w:p w14:paraId="06D07F80" w14:textId="77777777" w:rsidR="009C4705" w:rsidRPr="00E9215C" w:rsidRDefault="009C4705" w:rsidP="00947149">
      <w:pPr>
        <w:pStyle w:val="ListParagraph"/>
        <w:numPr>
          <w:ilvl w:val="0"/>
          <w:numId w:val="6"/>
        </w:numPr>
        <w:spacing w:after="0" w:line="240" w:lineRule="auto"/>
        <w:textAlignment w:val="baseline"/>
        <w:rPr>
          <w:rFonts w:eastAsia="Times New Roman"/>
        </w:rPr>
      </w:pPr>
      <w:r w:rsidRPr="00E9215C">
        <w:rPr>
          <w:rFonts w:eastAsia="Times New Roman"/>
          <w:color w:val="auto"/>
        </w:rPr>
        <w:t>Students with Limited or Interrupted Formal Education (SLIFE) </w:t>
      </w:r>
    </w:p>
    <w:p w14:paraId="07B7FE29" w14:textId="77777777" w:rsidR="009C4705" w:rsidRPr="00ED7217" w:rsidRDefault="009C4705" w:rsidP="00947149">
      <w:pPr>
        <w:pStyle w:val="ListParagraph"/>
        <w:numPr>
          <w:ilvl w:val="0"/>
          <w:numId w:val="6"/>
        </w:numPr>
        <w:spacing w:after="0" w:line="240" w:lineRule="auto"/>
        <w:textAlignment w:val="baseline"/>
        <w:rPr>
          <w:rFonts w:eastAsia="Times New Roman"/>
        </w:rPr>
      </w:pPr>
      <w:r w:rsidRPr="00ED7217">
        <w:rPr>
          <w:rFonts w:eastAsia="Times New Roman"/>
          <w:color w:val="auto"/>
        </w:rPr>
        <w:t>ELs identified as having special needs </w:t>
      </w:r>
    </w:p>
    <w:p w14:paraId="389E2843" w14:textId="77777777" w:rsidR="009C4705" w:rsidRPr="00ED7217" w:rsidRDefault="009C4705" w:rsidP="00947149">
      <w:pPr>
        <w:pStyle w:val="ListParagraph"/>
        <w:numPr>
          <w:ilvl w:val="0"/>
          <w:numId w:val="6"/>
        </w:numPr>
        <w:spacing w:after="0" w:line="240" w:lineRule="auto"/>
        <w:textAlignment w:val="baseline"/>
        <w:rPr>
          <w:rFonts w:eastAsia="Times New Roman"/>
        </w:rPr>
      </w:pPr>
      <w:r w:rsidRPr="00ED7217">
        <w:rPr>
          <w:rFonts w:eastAsia="Times New Roman"/>
          <w:color w:val="auto"/>
        </w:rPr>
        <w:t>ELs identified as gifted</w:t>
      </w:r>
    </w:p>
    <w:p w14:paraId="267B631D" w14:textId="77777777" w:rsidR="009C4705" w:rsidRPr="007F38A9" w:rsidRDefault="009C4705" w:rsidP="009C4705">
      <w:pPr>
        <w:spacing w:after="0" w:line="240" w:lineRule="auto"/>
        <w:ind w:left="1800"/>
        <w:textAlignment w:val="baseline"/>
        <w:rPr>
          <w:rFonts w:ascii="Segoe UI" w:eastAsia="Times New Roman" w:hAnsi="Segoe UI" w:cs="Segoe UI"/>
          <w:sz w:val="18"/>
          <w:szCs w:val="18"/>
        </w:rPr>
      </w:pPr>
      <w:r w:rsidRPr="007F38A9">
        <w:rPr>
          <w:rFonts w:eastAsia="Times New Roman"/>
          <w:color w:val="auto"/>
        </w:rPr>
        <w:t> </w:t>
      </w:r>
    </w:p>
    <w:p w14:paraId="66962207"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28A46639"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45F25FF7"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7E58569A"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1DFF43EA"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64DD261F"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130C635C"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5D4C69B5" w14:textId="77777777" w:rsidR="009C4705" w:rsidRPr="007F38A9" w:rsidRDefault="009C4705" w:rsidP="009C4705">
      <w:pPr>
        <w:spacing w:after="0" w:line="240" w:lineRule="auto"/>
        <w:ind w:left="1440"/>
        <w:textAlignment w:val="baseline"/>
        <w:rPr>
          <w:rFonts w:ascii="Segoe UI" w:eastAsia="Times New Roman" w:hAnsi="Segoe UI" w:cs="Segoe UI"/>
          <w:sz w:val="18"/>
          <w:szCs w:val="18"/>
        </w:rPr>
      </w:pPr>
      <w:r w:rsidRPr="007F38A9">
        <w:rPr>
          <w:rFonts w:eastAsia="Times New Roman"/>
          <w:color w:val="auto"/>
        </w:rPr>
        <w:t> </w:t>
      </w:r>
    </w:p>
    <w:p w14:paraId="699E1954" w14:textId="7D870BA5" w:rsidR="009C4705" w:rsidRPr="00774DB9" w:rsidRDefault="009C4705" w:rsidP="00774DB9">
      <w:pPr>
        <w:spacing w:after="0" w:line="240" w:lineRule="auto"/>
        <w:textAlignment w:val="baseline"/>
        <w:rPr>
          <w:rFonts w:ascii="Segoe UI" w:eastAsia="Times New Roman" w:hAnsi="Segoe UI" w:cs="Segoe UI"/>
          <w:sz w:val="18"/>
          <w:szCs w:val="18"/>
        </w:rPr>
      </w:pPr>
    </w:p>
    <w:sectPr w:rsidR="009C4705" w:rsidRPr="00774DB9"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25F6" w14:textId="77777777" w:rsidR="003E2F4D" w:rsidRDefault="003E2F4D" w:rsidP="00D03000">
      <w:pPr>
        <w:spacing w:after="0" w:line="240" w:lineRule="auto"/>
      </w:pPr>
      <w:r>
        <w:separator/>
      </w:r>
    </w:p>
  </w:endnote>
  <w:endnote w:type="continuationSeparator" w:id="0">
    <w:p w14:paraId="4DE9C83A" w14:textId="77777777" w:rsidR="003E2F4D" w:rsidRDefault="003E2F4D" w:rsidP="00D03000">
      <w:pPr>
        <w:spacing w:after="0" w:line="240" w:lineRule="auto"/>
      </w:pPr>
      <w:r>
        <w:continuationSeparator/>
      </w:r>
    </w:p>
  </w:endnote>
  <w:endnote w:type="continuationNotice" w:id="1">
    <w:p w14:paraId="212AEC87" w14:textId="77777777" w:rsidR="003E2F4D" w:rsidRDefault="003E2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A486" w14:textId="77777777" w:rsidR="003E2F4D" w:rsidRDefault="003E2F4D" w:rsidP="00D03000">
      <w:pPr>
        <w:spacing w:after="0" w:line="240" w:lineRule="auto"/>
      </w:pPr>
      <w:r>
        <w:separator/>
      </w:r>
    </w:p>
  </w:footnote>
  <w:footnote w:type="continuationSeparator" w:id="0">
    <w:p w14:paraId="2637077F" w14:textId="77777777" w:rsidR="003E2F4D" w:rsidRDefault="003E2F4D" w:rsidP="00D03000">
      <w:pPr>
        <w:spacing w:after="0" w:line="240" w:lineRule="auto"/>
      </w:pPr>
      <w:r>
        <w:continuationSeparator/>
      </w:r>
    </w:p>
  </w:footnote>
  <w:footnote w:type="continuationNotice" w:id="1">
    <w:p w14:paraId="096A5D11" w14:textId="77777777" w:rsidR="003E2F4D" w:rsidRDefault="003E2F4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2F4D"/>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940"/>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4DB9"/>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6DE9"/>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2F5F"/>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2.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4.xml><?xml version="1.0" encoding="utf-8"?>
<ds:datastoreItem xmlns:ds="http://schemas.openxmlformats.org/officeDocument/2006/customXml" ds:itemID="{FC82F1CF-063F-4F27-A357-007C889FE087}"/>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5</cp:revision>
  <cp:lastPrinted>2023-09-28T15:55:00Z</cp:lastPrinted>
  <dcterms:created xsi:type="dcterms:W3CDTF">2023-09-28T16:55:00Z</dcterms:created>
  <dcterms:modified xsi:type="dcterms:W3CDTF">2023-10-11T17:44:00Z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